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金融机构服务非金融企业股权融资评价自评表</w:t>
      </w:r>
    </w:p>
    <w:p>
      <w:pPr>
        <w:spacing w:line="600" w:lineRule="exact"/>
        <w:textAlignment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3"/>
        <w:tblW w:w="9606" w:type="dxa"/>
        <w:jc w:val="center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000"/>
        <w:gridCol w:w="4191"/>
        <w:gridCol w:w="1664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评价指标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考评标准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自评情况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（金额、数量等）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佐证材料目录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当年新增境内上市、过会或新三板精选层挂牌企业数量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30" w:lineRule="exact"/>
              <w:ind w:left="35" w:hanging="35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基本分（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分）：当年度新增企业在沪深交易所上市或新三板精选层挂牌数量超过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家，得基本分</w:t>
            </w:r>
            <w:r>
              <w:rPr>
                <w:rFonts w:ascii="宋体" w:hAnsi="宋体" w:eastAsia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分；新增企业于证监会、沪深交易所或新三板精选层审核过会数量超过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家，得基本分</w:t>
            </w:r>
            <w:r>
              <w:rPr>
                <w:rFonts w:ascii="宋体" w:hAnsi="宋体" w:eastAsia="宋体" w:cs="宋体"/>
                <w:kern w:val="0"/>
                <w:sz w:val="24"/>
              </w:rPr>
              <w:t>7.5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分。该项上限</w:t>
            </w:r>
            <w:r>
              <w:rPr>
                <w:rFonts w:ascii="宋体" w:hAnsi="宋体" w:eastAsia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exact"/>
              <w:ind w:left="35" w:hanging="35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增量得分（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分）：在获得基本分（服务1家企业）基础上，每新增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家企业在沪深交易所上市或新三板精选层挂牌，加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分；每新增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家企业于证监会、沪深交易所或新三板精选层审核过会，加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分。该项上限</w:t>
            </w:r>
            <w:r>
              <w:rPr>
                <w:rFonts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当年新增在新三板基础层、创新层挂牌企业数量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30" w:lineRule="exact"/>
              <w:ind w:left="0" w:firstLine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基本分（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分）：当年度达到新增企业在新三板基础层或创新层挂牌数量超过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家，得基本分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exact"/>
              <w:ind w:left="35" w:hanging="35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增量得分（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分）：在获得基本分（服务1家企业）基础上，每新增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家新三板基础层或创新层挂牌企业，加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分。该项上限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当年新增在证监局辅导备案企业数量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30" w:lineRule="exact"/>
              <w:ind w:left="0" w:firstLine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基本分（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分）：当年度新增在证监局辅导备案的拟上市企业超过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家，得基本分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  <w:p>
            <w:pPr>
              <w:widowControl/>
              <w:numPr>
                <w:ilvl w:val="0"/>
                <w:numId w:val="3"/>
              </w:numPr>
              <w:spacing w:line="330" w:lineRule="exact"/>
              <w:ind w:left="0" w:firstLine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增量得分（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分）：在获得基本分（服务1家企业）基础上，每新增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家在证监局辅导备案的拟上市企业，加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分。该项上限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当年新增企业上市首发融资、再融资以及新三板精选层挂牌企业融资金额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spacing w:line="33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①基本分（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分）：按单个参评机构统计，当年度新增上市公司首发融资、再融资以及新三板精选层挂牌企业融资金额合计超过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亿元，得基本分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  <w:p>
            <w:pPr>
              <w:widowControl/>
              <w:spacing w:line="33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②增量得分（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分）：在获得基本分（服务融资1亿元）的基础上，</w:t>
            </w: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亿元＜新增首发融资、再融资和新三板精选层挂牌企业融资金额≤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分；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亿元＜新增首发融资、再融资和新三板精选层挂牌企业融资金额≤</w:t>
            </w:r>
            <w:r>
              <w:rPr>
                <w:rFonts w:ascii="宋体" w:hAnsi="宋体" w:eastAsia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分；</w:t>
            </w:r>
            <w:r>
              <w:rPr>
                <w:rFonts w:ascii="宋体" w:hAnsi="宋体" w:eastAsia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亿元＜新增首发融资、再融资和新三板精选层挂牌企业融资金额≤</w:t>
            </w:r>
            <w:r>
              <w:rPr>
                <w:rFonts w:ascii="宋体" w:hAnsi="宋体" w:eastAsia="宋体" w:cs="宋体"/>
                <w:kern w:val="0"/>
                <w:sz w:val="24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分；新增首发融资、再融资和新三板精选层挂牌企业融资金额≥</w:t>
            </w:r>
            <w:r>
              <w:rPr>
                <w:rFonts w:ascii="宋体" w:hAnsi="宋体" w:eastAsia="宋体" w:cs="宋体"/>
                <w:kern w:val="0"/>
                <w:sz w:val="24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亿元，加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分。该项上限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分，若无不得分。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参评机构保荐的</w:t>
            </w:r>
            <w:r>
              <w:rPr>
                <w:rFonts w:hint="eastAsia" w:ascii="宋体" w:hAnsi="宋体" w:eastAsia="宋体" w:cs="宋体"/>
                <w:sz w:val="24"/>
              </w:rPr>
              <w:t>上市公司是否出现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欺诈发行、财务造假等</w:t>
            </w:r>
            <w:r>
              <w:rPr>
                <w:rFonts w:hint="eastAsia" w:ascii="宋体" w:hAnsi="宋体" w:eastAsia="宋体" w:cs="宋体"/>
                <w:sz w:val="24"/>
              </w:rPr>
              <w:t>重大风险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基本分（</w:t>
            </w:r>
            <w:r>
              <w:rPr>
                <w:rFonts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分）：若当年度参评机构保荐的上市公司没有出现欺诈发行、财务造假等重大风险事件，得基本分</w:t>
            </w:r>
            <w:r>
              <w:rPr>
                <w:rFonts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若出现欺诈发行、财务造假等重大风险事件，则按以下情况评价：</w:t>
            </w:r>
            <w:r>
              <w:rPr>
                <w:rFonts w:ascii="宋体" w:hAnsi="宋体" w:eastAsia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若参评机构积极配合有关部门做好风险处置工作，且监管部门尚未认定参评机构负相应责任，得</w:t>
            </w:r>
            <w:r>
              <w:rPr>
                <w:rFonts w:ascii="宋体" w:hAnsi="宋体" w:eastAsia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分；</w:t>
            </w:r>
            <w:r>
              <w:rPr>
                <w:rFonts w:ascii="宋体" w:hAnsi="宋体" w:eastAsia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若参评机构未积极配合有关部门做好风险处置工作，或被监管部门采取立案调查、行政处罚等措施，取消当年参评资格。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04A"/>
    <w:multiLevelType w:val="multilevel"/>
    <w:tmpl w:val="03BA304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E296853"/>
    <w:multiLevelType w:val="multilevel"/>
    <w:tmpl w:val="3E29685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3CF4C3F"/>
    <w:multiLevelType w:val="multilevel"/>
    <w:tmpl w:val="63CF4C3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67B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RSNET</dc:creator>
  <cp:lastModifiedBy>RSNET</cp:lastModifiedBy>
  <dcterms:modified xsi:type="dcterms:W3CDTF">2022-07-01T09:31:13Z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