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textAlignment w:val="center"/>
        <w:rPr>
          <w:rFonts w:hint="eastAsia" w:ascii="宋体" w:hAnsi="宋体" w:eastAsia="黑体" w:cs="宋体"/>
          <w:color w:val="333333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宋体" w:hAnsi="宋体" w:eastAsia="宋体" w:cs="宋体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Style w:val="4"/>
          <w:rFonts w:hint="eastAsia" w:ascii="方正小标宋_GBK" w:hAnsi="方正小标宋_GBK" w:eastAsia="方正小标宋_GBK" w:cs="方正小标宋_GBK"/>
          <w:b w:val="0"/>
          <w:bCs w:val="0"/>
          <w:color w:val="333333"/>
          <w:sz w:val="44"/>
          <w:szCs w:val="44"/>
        </w:rPr>
      </w:pPr>
      <w:r>
        <w:rPr>
          <w:rStyle w:val="4"/>
          <w:rFonts w:hint="eastAsia" w:ascii="方正小标宋_GBK" w:hAnsi="方正小标宋_GBK" w:eastAsia="方正小标宋_GBK" w:cs="方正小标宋_GBK"/>
          <w:b w:val="0"/>
          <w:bCs w:val="0"/>
          <w:color w:val="333333"/>
          <w:sz w:val="44"/>
          <w:szCs w:val="44"/>
        </w:rPr>
        <w:t>企业在线申报流程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Style w:val="4"/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333333"/>
          <w:sz w:val="32"/>
          <w:szCs w:val="32"/>
        </w:rPr>
      </w:pPr>
      <w:r>
        <w:rPr>
          <w:rStyle w:val="4"/>
          <w:rFonts w:hint="eastAsia" w:ascii="方正黑体_GBK" w:hAnsi="方正黑体_GBK" w:eastAsia="方正黑体_GBK" w:cs="方正黑体_GBK"/>
          <w:b w:val="0"/>
          <w:bCs w:val="0"/>
          <w:color w:val="333333"/>
          <w:sz w:val="32"/>
          <w:szCs w:val="32"/>
        </w:rPr>
        <w:t>　　一、企业申报流程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</w:t>
      </w:r>
      <w:r>
        <w:rPr>
          <w:rFonts w:hint="eastAsia" w:ascii="仿宋_GB2312" w:hAnsi="仿宋" w:eastAsia="仿宋_GB2312" w:cs="Times New Roman"/>
          <w:color w:val="333333"/>
          <w:sz w:val="32"/>
          <w:szCs w:val="32"/>
          <w:highlight w:val="none"/>
        </w:rPr>
        <w:t>1.注册——2.登录——3.进入企业用户登录选择，点击“跳过”——4.点击“省重点上市后备企业”——5.点击“企业绑定”——6.点击“企业申报”进行申报。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方正黑体_GBK" w:hAnsi="方正黑体_GBK" w:eastAsia="方正黑体_GBK" w:cs="方正黑体_GBK"/>
          <w:color w:val="333333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</w:rPr>
        <w:t>　</w:t>
      </w:r>
      <w:r>
        <w:rPr>
          <w:rFonts w:hint="eastAsia" w:ascii="方正黑体_GBK" w:hAnsi="方正黑体_GBK" w:eastAsia="方正黑体_GBK" w:cs="方正黑体_GBK"/>
          <w:b w:val="0"/>
          <w:bCs w:val="0"/>
          <w:color w:val="333333"/>
          <w:sz w:val="32"/>
          <w:szCs w:val="32"/>
        </w:rPr>
        <w:t>　二、具体步骤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仿宋_GB2312" w:hAnsi="仿宋" w:eastAsia="仿宋_GB2312" w:cs="Times New Roman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</w:rPr>
        <w:t>（一）注册。</w:t>
      </w:r>
      <w:r>
        <w:rPr>
          <w:rFonts w:hint="eastAsia" w:ascii="仿宋_GB2312" w:hAnsi="仿宋" w:eastAsia="仿宋_GB2312" w:cs="Times New Roman"/>
          <w:color w:val="333333"/>
          <w:sz w:val="32"/>
          <w:szCs w:val="32"/>
          <w:highlight w:val="none"/>
        </w:rPr>
        <w:t>登录福建省金融服务云平台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fldChar w:fldCharType="begin"/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instrText xml:space="preserve"> HYPERLINK "http://www.fjjfypt.com/" </w:instrTex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fldChar w:fldCharType="separate"/>
      </w:r>
      <w:r>
        <w:rPr>
          <w:rStyle w:val="5"/>
          <w:rFonts w:hint="eastAsia" w:ascii="仿宋_GB2312" w:hAnsi="仿宋" w:eastAsia="仿宋_GB2312" w:cs="Times New Roman"/>
          <w:color w:val="333333"/>
          <w:sz w:val="32"/>
          <w:szCs w:val="32"/>
          <w:highlight w:val="none"/>
          <w:u w:val="none"/>
        </w:rPr>
        <w:t>http://www.fjjfypt.com</w:t>
      </w:r>
      <w:r>
        <w:rPr>
          <w:rStyle w:val="5"/>
          <w:rFonts w:hint="eastAsia" w:ascii="仿宋_GB2312" w:hAnsi="仿宋" w:eastAsia="仿宋_GB2312" w:cs="Times New Roman"/>
          <w:color w:val="333333"/>
          <w:sz w:val="32"/>
          <w:szCs w:val="32"/>
          <w:highlight w:val="none"/>
          <w:u w:val="none"/>
        </w:rPr>
        <w:fldChar w:fldCharType="end"/>
      </w:r>
      <w:r>
        <w:rPr>
          <w:rFonts w:hint="eastAsia" w:ascii="仿宋_GB2312" w:hAnsi="仿宋" w:eastAsia="仿宋_GB2312" w:cs="Times New Roman"/>
          <w:color w:val="333333"/>
          <w:sz w:val="32"/>
          <w:szCs w:val="32"/>
          <w:highlight w:val="none"/>
        </w:rPr>
        <w:t>，点击首页右上角“注册”进行注册；输入手机号，设置密码，并填写图形验证码、短信验证码。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仿宋_GB2312" w:hAnsi="仿宋" w:eastAsia="仿宋_GB2312" w:cs="Times New Roman"/>
          <w:color w:val="333333"/>
          <w:sz w:val="32"/>
          <w:szCs w:val="32"/>
          <w:highlight w:val="none"/>
        </w:rPr>
      </w:pPr>
      <w:r>
        <w:rPr>
          <w:rFonts w:hint="eastAsia" w:ascii="仿宋_GB2312" w:hAnsi="仿宋" w:eastAsia="仿宋_GB2312" w:cs="Times New Roman"/>
          <w:color w:val="333333"/>
          <w:sz w:val="32"/>
          <w:szCs w:val="32"/>
          <w:highlight w:val="none"/>
        </w:rPr>
        <w:t>　　</w:t>
      </w: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</w:rPr>
        <w:t>（二）登录。</w:t>
      </w:r>
      <w:r>
        <w:rPr>
          <w:rFonts w:hint="eastAsia" w:ascii="仿宋_GB2312" w:hAnsi="仿宋" w:eastAsia="仿宋_GB2312" w:cs="Times New Roman"/>
          <w:color w:val="333333"/>
          <w:sz w:val="32"/>
          <w:szCs w:val="32"/>
          <w:highlight w:val="none"/>
        </w:rPr>
        <w:t>点击首页右上角“登录”，输入注册时的手机号和密码，填写图片验证码、短信验证码后登录。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仿宋_GB2312" w:hAnsi="仿宋" w:eastAsia="仿宋_GB2312" w:cs="Times New Roman"/>
          <w:color w:val="333333"/>
          <w:sz w:val="32"/>
          <w:szCs w:val="32"/>
          <w:highlight w:val="none"/>
        </w:rPr>
      </w:pPr>
      <w:r>
        <w:rPr>
          <w:rFonts w:hint="eastAsia" w:ascii="仿宋_GB2312" w:hAnsi="仿宋" w:eastAsia="仿宋_GB2312" w:cs="Times New Roman"/>
          <w:color w:val="333333"/>
          <w:sz w:val="32"/>
          <w:szCs w:val="32"/>
          <w:highlight w:val="none"/>
        </w:rPr>
        <w:t>　　</w:t>
      </w: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</w:rPr>
        <w:t>（三）企业用户登录选择。</w:t>
      </w:r>
      <w:r>
        <w:rPr>
          <w:rFonts w:hint="eastAsia" w:ascii="仿宋_GB2312" w:hAnsi="仿宋" w:eastAsia="仿宋_GB2312" w:cs="Times New Roman"/>
          <w:color w:val="333333"/>
          <w:sz w:val="32"/>
          <w:szCs w:val="32"/>
          <w:highlight w:val="none"/>
        </w:rPr>
        <w:t>登录后，出现企业用户登录选择，点击“跳过”。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仿宋_GB2312" w:hAnsi="仿宋" w:eastAsia="仿宋_GB2312" w:cs="Times New Roman"/>
          <w:color w:val="333333"/>
          <w:sz w:val="32"/>
          <w:szCs w:val="32"/>
          <w:highlight w:val="none"/>
        </w:rPr>
      </w:pPr>
      <w:r>
        <w:rPr>
          <w:rFonts w:hint="eastAsia" w:ascii="仿宋_GB2312" w:hAnsi="仿宋" w:eastAsia="仿宋_GB2312" w:cs="Times New Roman"/>
          <w:color w:val="333333"/>
          <w:sz w:val="32"/>
          <w:szCs w:val="32"/>
          <w:highlight w:val="none"/>
        </w:rPr>
        <w:t>　　</w:t>
      </w: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</w:rPr>
        <w:t>（四）进入工作台。</w:t>
      </w:r>
      <w:r>
        <w:rPr>
          <w:rFonts w:hint="eastAsia" w:ascii="仿宋_GB2312" w:hAnsi="仿宋" w:eastAsia="仿宋_GB2312" w:cs="Times New Roman"/>
          <w:color w:val="333333"/>
          <w:sz w:val="32"/>
          <w:szCs w:val="32"/>
          <w:highlight w:val="none"/>
        </w:rPr>
        <w:t>在弹出的界面左侧点击展开“省重点上市后备企业”菜单。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仿宋_GB2312" w:hAnsi="仿宋" w:eastAsia="仿宋_GB2312" w:cs="Times New Roman"/>
          <w:color w:val="333333"/>
          <w:sz w:val="32"/>
          <w:szCs w:val="32"/>
          <w:highlight w:val="none"/>
        </w:rPr>
      </w:pPr>
      <w:r>
        <w:rPr>
          <w:rFonts w:hint="eastAsia" w:ascii="仿宋_GB2312" w:hAnsi="仿宋" w:eastAsia="仿宋_GB2312" w:cs="Times New Roman"/>
          <w:color w:val="333333"/>
          <w:sz w:val="32"/>
          <w:szCs w:val="32"/>
          <w:highlight w:val="none"/>
        </w:rPr>
        <w:t>　　</w:t>
      </w: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</w:rPr>
        <w:t>（五）企业绑定。</w:t>
      </w:r>
      <w:r>
        <w:rPr>
          <w:rFonts w:hint="eastAsia" w:ascii="仿宋_GB2312" w:hAnsi="仿宋" w:eastAsia="仿宋_GB2312" w:cs="Times New Roman"/>
          <w:color w:val="333333"/>
          <w:sz w:val="32"/>
          <w:szCs w:val="32"/>
          <w:highlight w:val="none"/>
        </w:rPr>
        <w:t>点击“省重点上市后备企业”项下“企业绑定”，填写企业名称、统一社会信用代码、企业类型、所属区域后保存。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仿宋_GB2312" w:hAnsi="仿宋" w:eastAsia="仿宋_GB2312" w:cs="Times New Roman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</w:rPr>
        <w:t>（六）企业申报。</w:t>
      </w:r>
      <w:r>
        <w:rPr>
          <w:rFonts w:hint="eastAsia" w:ascii="仿宋_GB2312" w:hAnsi="仿宋" w:eastAsia="仿宋_GB2312" w:cs="Times New Roman"/>
          <w:color w:val="333333"/>
          <w:sz w:val="32"/>
          <w:szCs w:val="32"/>
          <w:highlight w:val="none"/>
        </w:rPr>
        <w:t>点击“省重点上市后备企业”项下“企业申报”，根据要求进行填写申报。</w:t>
      </w:r>
    </w:p>
    <w:p>
      <w:r>
        <w:rPr>
          <w:rFonts w:hint="eastAsia" w:ascii="仿宋_GB2312" w:hAnsi="仿宋" w:eastAsia="仿宋_GB2312" w:cs="Times New Roman"/>
          <w:color w:val="333333"/>
          <w:sz w:val="32"/>
          <w:szCs w:val="32"/>
          <w:highlight w:val="none"/>
        </w:rPr>
        <w:t>　　</w:t>
      </w: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</w:rPr>
        <w:t>（七）申报进度。</w:t>
      </w:r>
      <w:r>
        <w:rPr>
          <w:rFonts w:hint="eastAsia" w:ascii="仿宋_GB2312" w:hAnsi="仿宋" w:eastAsia="仿宋_GB2312" w:cs="Times New Roman"/>
          <w:color w:val="333333"/>
          <w:sz w:val="32"/>
          <w:szCs w:val="32"/>
          <w:highlight w:val="none"/>
        </w:rPr>
        <w:t>点击“省重点上市后备企业”项下“申报进度”可查看目前审核进度（若处于“驳回”状态，可点击企业信息条目末端控件查看原因、编辑修改）。点击左侧栏目“使用说明”可查询填报说明等相关信息。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553F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0"/>
    <w:rPr>
      <w:b/>
      <w:bCs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RSNET</dc:creator>
  <cp:lastModifiedBy>RSNET</cp:lastModifiedBy>
  <dcterms:modified xsi:type="dcterms:W3CDTF">2022-07-15T10:13:02Z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